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7E9FD828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Pr="00D32144">
        <w:rPr>
          <w:rFonts w:ascii="Calibri" w:hAnsi="Calibri"/>
          <w:b/>
          <w:bCs/>
          <w:sz w:val="20"/>
          <w:szCs w:val="20"/>
        </w:rPr>
        <w:t xml:space="preserve">Javnega razpisa </w:t>
      </w:r>
      <w:r w:rsidR="00D32144" w:rsidRPr="00D32144">
        <w:rPr>
          <w:rFonts w:ascii="Calibri" w:hAnsi="Calibri"/>
          <w:b/>
          <w:bCs/>
          <w:sz w:val="20"/>
          <w:szCs w:val="20"/>
        </w:rPr>
        <w:t>za sofinanciranje razvoja slovenskih igranih filmskih projektov – 2022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8F0" w14:textId="77777777" w:rsidR="00FA653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A6532" w:rsidRDefault="00D321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3BBB" w14:textId="250BBECE" w:rsidR="00FA653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A653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8B" w14:textId="77777777" w:rsidR="00FA653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A6532" w:rsidRDefault="00D32144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281D06"/>
    <w:rsid w:val="00846901"/>
    <w:rsid w:val="00991A3D"/>
    <w:rsid w:val="00D32144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5</cp:revision>
  <dcterms:created xsi:type="dcterms:W3CDTF">2022-03-07T15:19:00Z</dcterms:created>
  <dcterms:modified xsi:type="dcterms:W3CDTF">2022-05-30T07:19:00Z</dcterms:modified>
</cp:coreProperties>
</file>